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754F" w:rsidRPr="00C43EAE" w:rsidRDefault="00ED7DFB" w:rsidP="00ED7DFB">
      <w:pPr>
        <w:pStyle w:val="a3"/>
        <w:rPr>
          <w:rFonts w:ascii="Times New Roman" w:hAnsi="Times New Roman" w:cs="Times New Roman"/>
          <w:sz w:val="36"/>
          <w:szCs w:val="36"/>
        </w:rPr>
      </w:pPr>
      <w:bookmarkStart w:id="0" w:name="_GoBack"/>
      <w:r w:rsidRPr="00C43EAE">
        <w:rPr>
          <w:rFonts w:ascii="Times New Roman" w:hAnsi="Times New Roman" w:cs="Times New Roman"/>
          <w:sz w:val="36"/>
          <w:szCs w:val="36"/>
        </w:rPr>
        <w:t>Supplementary materials</w:t>
      </w:r>
    </w:p>
    <w:bookmarkEnd w:id="0"/>
    <w:p w:rsidR="00ED7DFB" w:rsidRPr="00C43EAE" w:rsidRDefault="00ED7DFB" w:rsidP="00ED7DFB">
      <w:pPr>
        <w:pStyle w:val="EndNoteBibliography"/>
        <w:rPr>
          <w:noProof w:val="0"/>
          <w:szCs w:val="24"/>
        </w:rPr>
      </w:pPr>
      <w:r w:rsidRPr="00C43EAE">
        <w:rPr>
          <w:noProof w:val="0"/>
          <w:szCs w:val="24"/>
        </w:rPr>
        <w:t>S1 Fig. Clinical outcomes of the entire cohort: A – locoregional recurrence (LRR) and distant failure (LR) rate, and B – overall survival (OS) and progression-free survival (PFS) rate.</w:t>
      </w:r>
    </w:p>
    <w:p w:rsidR="00ED7DFB" w:rsidRPr="00C43EAE" w:rsidRDefault="00ED7DFB">
      <w:pPr>
        <w:rPr>
          <w:rFonts w:ascii="Times New Roman" w:hAnsi="Times New Roman" w:cs="Times New Roman"/>
          <w:sz w:val="24"/>
          <w:szCs w:val="24"/>
        </w:rPr>
      </w:pPr>
      <w:r w:rsidRPr="00C43E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322516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DFB" w:rsidRPr="00C43EAE" w:rsidRDefault="00ED7DFB" w:rsidP="00ED7DFB">
      <w:pPr>
        <w:pStyle w:val="EndNoteBibliography"/>
        <w:ind w:left="120" w:hangingChars="50" w:hanging="120"/>
        <w:rPr>
          <w:noProof w:val="0"/>
          <w:szCs w:val="24"/>
        </w:rPr>
      </w:pPr>
      <w:r w:rsidRPr="00C43EAE">
        <w:rPr>
          <w:noProof w:val="0"/>
          <w:szCs w:val="24"/>
        </w:rPr>
        <w:t xml:space="preserve">S2 Fig. Receiver operating characteristic curve according to </w:t>
      </w:r>
      <w:r w:rsidRPr="00C43EAE">
        <w:rPr>
          <w:szCs w:val="24"/>
        </w:rPr>
        <w:t>ΔSUV</w:t>
      </w:r>
      <w:r w:rsidRPr="00C43EAE">
        <w:rPr>
          <w:szCs w:val="24"/>
          <w:vertAlign w:val="subscript"/>
        </w:rPr>
        <w:t xml:space="preserve">max </w:t>
      </w:r>
      <w:r w:rsidRPr="00C43EAE">
        <w:rPr>
          <w:szCs w:val="24"/>
        </w:rPr>
        <w:t>and GTV</w:t>
      </w:r>
      <w:r w:rsidRPr="00C43EAE">
        <w:rPr>
          <w:szCs w:val="24"/>
          <w:vertAlign w:val="subscript"/>
        </w:rPr>
        <w:t>pre</w:t>
      </w:r>
      <w:r w:rsidRPr="00C43EAE">
        <w:rPr>
          <w:szCs w:val="24"/>
        </w:rPr>
        <w:t xml:space="preserve"> crietria for A- </w:t>
      </w:r>
      <w:r w:rsidRPr="00C43EAE">
        <w:rPr>
          <w:noProof w:val="0"/>
          <w:szCs w:val="24"/>
        </w:rPr>
        <w:t xml:space="preserve">locoregional recurrence, and B – distant failure. </w:t>
      </w:r>
    </w:p>
    <w:p w:rsidR="00ED7DFB" w:rsidRPr="00C43EAE" w:rsidRDefault="00ED7DFB">
      <w:pPr>
        <w:rPr>
          <w:rFonts w:ascii="Times New Roman" w:hAnsi="Times New Roman" w:cs="Times New Roman"/>
          <w:sz w:val="24"/>
          <w:szCs w:val="24"/>
        </w:rPr>
      </w:pPr>
      <w:r w:rsidRPr="00C43E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1907540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DFB" w:rsidRPr="00C43EAE" w:rsidRDefault="00ED7DFB">
      <w:pPr>
        <w:rPr>
          <w:rFonts w:ascii="Times New Roman" w:hAnsi="Times New Roman" w:cs="Times New Roman"/>
          <w:sz w:val="24"/>
          <w:szCs w:val="24"/>
        </w:rPr>
      </w:pPr>
    </w:p>
    <w:p w:rsidR="00ED7DFB" w:rsidRPr="00C43EAE" w:rsidRDefault="00ED7DFB" w:rsidP="00ED7DFB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C43EAE">
        <w:rPr>
          <w:rFonts w:ascii="Times New Roman" w:hAnsi="Times New Roman" w:cs="Times New Roman"/>
          <w:sz w:val="24"/>
          <w:szCs w:val="24"/>
        </w:rPr>
        <w:br w:type="column"/>
      </w:r>
      <w:bookmarkStart w:id="1" w:name="_Hlk509870924"/>
      <w:r w:rsidRPr="00C43EAE">
        <w:rPr>
          <w:rFonts w:ascii="Times New Roman" w:hAnsi="Times New Roman" w:cs="Times New Roman"/>
          <w:b/>
          <w:sz w:val="24"/>
          <w:szCs w:val="24"/>
        </w:rPr>
        <w:lastRenderedPageBreak/>
        <w:t>Supplementary Table 1. Quantitative parameters on the pretreatment and interim PET scan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4"/>
        <w:gridCol w:w="1047"/>
        <w:gridCol w:w="1385"/>
        <w:gridCol w:w="204"/>
        <w:gridCol w:w="998"/>
        <w:gridCol w:w="1385"/>
        <w:gridCol w:w="204"/>
        <w:gridCol w:w="1337"/>
        <w:gridCol w:w="1422"/>
      </w:tblGrid>
      <w:tr w:rsidR="00ED7DFB" w:rsidRPr="00C43EAE" w:rsidTr="000508F4">
        <w:trPr>
          <w:trHeight w:val="330"/>
        </w:trPr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Pretreatment PET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Interim PET</w:t>
            </w:r>
          </w:p>
        </w:tc>
        <w:tc>
          <w:tcPr>
            <w:tcW w:w="1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% of decrease</w:t>
            </w:r>
          </w:p>
        </w:tc>
      </w:tr>
      <w:tr w:rsidR="00ED7DFB" w:rsidRPr="00C43EAE" w:rsidTr="000508F4">
        <w:trPr>
          <w:trHeight w:val="330"/>
        </w:trPr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IQR</w:t>
            </w:r>
          </w:p>
        </w:tc>
        <w:tc>
          <w:tcPr>
            <w:tcW w:w="9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IQR</w:t>
            </w:r>
          </w:p>
        </w:tc>
        <w:tc>
          <w:tcPr>
            <w:tcW w:w="11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IQR</w:t>
            </w:r>
          </w:p>
        </w:tc>
      </w:tr>
      <w:tr w:rsidR="00ED7DFB" w:rsidRPr="00C43EAE" w:rsidTr="000508F4">
        <w:trPr>
          <w:trHeight w:val="330"/>
        </w:trPr>
        <w:tc>
          <w:tcPr>
            <w:tcW w:w="63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GTV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116.6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[85.7;190.6]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78.1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[52.2;111.4]</w:t>
            </w:r>
          </w:p>
        </w:tc>
        <w:tc>
          <w:tcPr>
            <w:tcW w:w="1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23.6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[14.0;49.6]</w:t>
            </w:r>
          </w:p>
        </w:tc>
      </w:tr>
      <w:tr w:rsidR="00ED7DFB" w:rsidRPr="00C43EAE" w:rsidTr="000508F4">
        <w:trPr>
          <w:trHeight w:val="330"/>
        </w:trPr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SUV</w:t>
            </w: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max</w:t>
            </w:r>
            <w:proofErr w:type="spellEnd"/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[11.5;21.4]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[6.1;11.0]</w:t>
            </w:r>
          </w:p>
        </w:tc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32.9</w:t>
            </w:r>
          </w:p>
        </w:tc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[8.4;64.6]</w:t>
            </w:r>
          </w:p>
        </w:tc>
      </w:tr>
    </w:tbl>
    <w:p w:rsidR="00ED7DFB" w:rsidRPr="00C43EAE" w:rsidRDefault="00ED7DFB" w:rsidP="00ED7DFB">
      <w:pPr>
        <w:rPr>
          <w:rFonts w:ascii="Times New Roman" w:hAnsi="Times New Roman" w:cs="Times New Roman"/>
          <w:sz w:val="24"/>
          <w:szCs w:val="24"/>
        </w:rPr>
      </w:pPr>
      <w:r w:rsidRPr="00C43EAE">
        <w:rPr>
          <w:rFonts w:ascii="Times New Roman" w:hAnsi="Times New Roman" w:cs="Times New Roman"/>
          <w:i/>
          <w:sz w:val="24"/>
          <w:szCs w:val="24"/>
        </w:rPr>
        <w:t>Abbreviations:</w:t>
      </w:r>
      <w:r w:rsidRPr="00C43EAE">
        <w:rPr>
          <w:rFonts w:ascii="Times New Roman" w:hAnsi="Times New Roman" w:cs="Times New Roman"/>
          <w:sz w:val="24"/>
          <w:szCs w:val="24"/>
        </w:rPr>
        <w:t xml:space="preserve"> IQR, interquartile range; GTV, gross tumor volume; </w:t>
      </w:r>
      <w:proofErr w:type="spellStart"/>
      <w:r w:rsidRPr="00C43EAE">
        <w:rPr>
          <w:rFonts w:ascii="Times New Roman" w:hAnsi="Times New Roman" w:cs="Times New Roman"/>
          <w:sz w:val="24"/>
          <w:szCs w:val="24"/>
        </w:rPr>
        <w:t>SUV</w:t>
      </w:r>
      <w:r w:rsidRPr="00C43EA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43EAE">
        <w:rPr>
          <w:rFonts w:ascii="Times New Roman" w:hAnsi="Times New Roman" w:cs="Times New Roman"/>
          <w:sz w:val="24"/>
          <w:szCs w:val="24"/>
        </w:rPr>
        <w:t>, maximum standardized uptake value</w:t>
      </w:r>
    </w:p>
    <w:bookmarkEnd w:id="1"/>
    <w:p w:rsidR="00ED7DFB" w:rsidRPr="00C43EAE" w:rsidRDefault="00ED7DFB" w:rsidP="00ED7DF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C43EAE">
        <w:rPr>
          <w:rFonts w:ascii="Times New Roman" w:hAnsi="Times New Roman" w:cs="Times New Roman"/>
          <w:sz w:val="24"/>
          <w:szCs w:val="24"/>
        </w:rPr>
        <w:br w:type="page"/>
      </w:r>
    </w:p>
    <w:p w:rsidR="00ED7DFB" w:rsidRPr="00C43EAE" w:rsidRDefault="00ED7DFB" w:rsidP="00ED7DFB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C43EA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2. Predictors of overall survival identified using a Cox proportional hazards model</w:t>
      </w:r>
    </w:p>
    <w:tbl>
      <w:tblPr>
        <w:tblW w:w="447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16"/>
        <w:gridCol w:w="1337"/>
        <w:gridCol w:w="1005"/>
        <w:gridCol w:w="618"/>
        <w:gridCol w:w="618"/>
        <w:gridCol w:w="278"/>
        <w:gridCol w:w="738"/>
        <w:gridCol w:w="959"/>
      </w:tblGrid>
      <w:tr w:rsidR="00ED7DFB" w:rsidRPr="00C43EAE" w:rsidTr="000508F4">
        <w:trPr>
          <w:trHeight w:val="330"/>
        </w:trPr>
        <w:tc>
          <w:tcPr>
            <w:tcW w:w="1183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1-yr OS</w:t>
            </w:r>
          </w:p>
        </w:tc>
        <w:tc>
          <w:tcPr>
            <w:tcW w:w="2209" w:type="pct"/>
            <w:gridSpan w:val="5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Univariable analysis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116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59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(</w:t>
            </w: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yrs</w:t>
            </w:r>
            <w:proofErr w:type="spellEnd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&lt;70</w:t>
            </w:r>
          </w:p>
        </w:tc>
        <w:tc>
          <w:tcPr>
            <w:tcW w:w="6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70.0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≥70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0.22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2.43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0.608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Pathology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Adenoca</w:t>
            </w:r>
            <w:proofErr w:type="spellEnd"/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70.0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SqCCa</w:t>
            </w:r>
            <w:proofErr w:type="spellEnd"/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0.57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1.89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0.362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Size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&lt;4 cm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72.7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≥4 cm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88.2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1.56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0.219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T1-2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81.3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T3-4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83.3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0.72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0.605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I-II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80.0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82.6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1.99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15.57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0.513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 dose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&lt;60 </w:t>
            </w: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Gy</w:t>
            </w:r>
            <w:proofErr w:type="spellEnd"/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50.0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≥60 </w:t>
            </w: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Gy</w:t>
            </w:r>
            <w:proofErr w:type="spellEnd"/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84.4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2.67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0.277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GTV</w:t>
            </w:r>
            <w:r w:rsidRPr="00C43EAE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  <w:vertAlign w:val="subscript"/>
              </w:rPr>
              <w:t>pre</w:t>
            </w:r>
            <w:proofErr w:type="spellEnd"/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&lt;120 cc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93.8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≥120 cc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66.7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0.007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hAnsi="Times New Roman" w:cs="Times New Roman"/>
                <w:sz w:val="24"/>
                <w:szCs w:val="24"/>
              </w:rPr>
              <w:t>SUV</w:t>
            </w:r>
            <w:r w:rsidRPr="00C43EA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 w:rsidRPr="00C43EA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(pre)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&lt;15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69.2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≥15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83.3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0.91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0.685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GTV</w:t>
            </w: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pre</w:t>
            </w:r>
            <w:proofErr w:type="spellEnd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– </w:t>
            </w: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GTV</w:t>
            </w: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int</w:t>
            </w:r>
            <w:proofErr w:type="spellEnd"/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(+)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(-)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75.0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5.83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0.772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hAnsi="Times New Roman" w:cs="Times New Roman"/>
                <w:sz w:val="24"/>
                <w:szCs w:val="24"/>
              </w:rPr>
              <w:t>SUV</w:t>
            </w:r>
            <w:r w:rsidRPr="00C43EA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 w:rsidRPr="00C43EA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(pre) </w:t>
            </w:r>
            <w:r w:rsidRPr="00C43EA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C43EAE">
              <w:rPr>
                <w:rFonts w:ascii="Times New Roman" w:hAnsi="Times New Roman" w:cs="Times New Roman"/>
                <w:sz w:val="24"/>
                <w:szCs w:val="24"/>
              </w:rPr>
              <w:t>SUV</w:t>
            </w:r>
            <w:r w:rsidRPr="00C43EA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 w:rsidRPr="00C43EA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(int)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(+)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78.3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(-)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100.0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0.36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2.86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0.335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ΔGTV</w:t>
            </w: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 25%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84.6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 25%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79.4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3.25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0.987</w:t>
            </w: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Δ</w:t>
            </w:r>
            <w:r w:rsidRPr="00C43EAE">
              <w:rPr>
                <w:rFonts w:ascii="Times New Roman" w:hAnsi="Times New Roman" w:cs="Times New Roman"/>
                <w:sz w:val="24"/>
                <w:szCs w:val="24"/>
              </w:rPr>
              <w:t>SUV</w:t>
            </w:r>
            <w:r w:rsidRPr="00C43EA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 40%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91.7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7DFB" w:rsidRPr="00C43EAE" w:rsidTr="000508F4">
        <w:trPr>
          <w:trHeight w:val="330"/>
        </w:trPr>
        <w:tc>
          <w:tcPr>
            <w:tcW w:w="1183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 40%</w:t>
            </w:r>
          </w:p>
        </w:tc>
        <w:tc>
          <w:tcPr>
            <w:tcW w:w="646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1.62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0.46</w:t>
            </w:r>
          </w:p>
        </w:tc>
        <w:tc>
          <w:tcPr>
            <w:tcW w:w="214" w:type="pct"/>
            <w:shd w:val="clear" w:color="auto" w:fill="auto"/>
            <w:noWrap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5.67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:rsidR="00ED7DFB" w:rsidRPr="00C43EAE" w:rsidRDefault="00ED7DFB" w:rsidP="000508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EA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0.453</w:t>
            </w:r>
          </w:p>
        </w:tc>
      </w:tr>
    </w:tbl>
    <w:p w:rsidR="00ED7DFB" w:rsidRPr="00C43EAE" w:rsidRDefault="00ED7DFB" w:rsidP="00ED7DFB">
      <w:pPr>
        <w:rPr>
          <w:rFonts w:ascii="Times New Roman" w:hAnsi="Times New Roman" w:cs="Times New Roman"/>
          <w:sz w:val="24"/>
          <w:szCs w:val="24"/>
        </w:rPr>
      </w:pPr>
      <w:r w:rsidRPr="00C43EAE">
        <w:rPr>
          <w:rFonts w:ascii="Times New Roman" w:hAnsi="Times New Roman" w:cs="Times New Roman"/>
          <w:i/>
          <w:sz w:val="24"/>
          <w:szCs w:val="24"/>
        </w:rPr>
        <w:t>Abbreviations:</w:t>
      </w:r>
      <w:r w:rsidRPr="00C43E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3EAE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C43EAE">
        <w:rPr>
          <w:rFonts w:ascii="Times New Roman" w:hAnsi="Times New Roman" w:cs="Times New Roman"/>
          <w:sz w:val="24"/>
          <w:szCs w:val="24"/>
        </w:rPr>
        <w:t xml:space="preserve">, year; OS, overall survival; HR, hazard ratio; CI, confidence interval; </w:t>
      </w:r>
      <w:proofErr w:type="spellStart"/>
      <w:r w:rsidRPr="00C43EAE">
        <w:rPr>
          <w:rFonts w:ascii="Times New Roman" w:hAnsi="Times New Roman" w:cs="Times New Roman"/>
          <w:sz w:val="24"/>
          <w:szCs w:val="24"/>
        </w:rPr>
        <w:t>Adenoca</w:t>
      </w:r>
      <w:proofErr w:type="spellEnd"/>
      <w:r w:rsidRPr="00C43EAE">
        <w:rPr>
          <w:rFonts w:ascii="Times New Roman" w:hAnsi="Times New Roman" w:cs="Times New Roman"/>
          <w:sz w:val="24"/>
          <w:szCs w:val="24"/>
        </w:rPr>
        <w:t xml:space="preserve">, adenocarcinoma; </w:t>
      </w:r>
      <w:proofErr w:type="spellStart"/>
      <w:r w:rsidRPr="00C43EAE">
        <w:rPr>
          <w:rFonts w:ascii="Times New Roman" w:hAnsi="Times New Roman" w:cs="Times New Roman"/>
          <w:sz w:val="24"/>
          <w:szCs w:val="24"/>
        </w:rPr>
        <w:t>SqCCa</w:t>
      </w:r>
      <w:proofErr w:type="spellEnd"/>
      <w:r w:rsidRPr="00C43EAE">
        <w:rPr>
          <w:rFonts w:ascii="Times New Roman" w:hAnsi="Times New Roman" w:cs="Times New Roman"/>
          <w:sz w:val="24"/>
          <w:szCs w:val="24"/>
        </w:rPr>
        <w:t>, squamous cell carcinoma</w:t>
      </w:r>
      <w:r w:rsidRPr="00C43EAE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; </w:t>
      </w:r>
      <w:proofErr w:type="spellStart"/>
      <w:r w:rsidRPr="00C43EAE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Gy</w:t>
      </w:r>
      <w:proofErr w:type="spellEnd"/>
      <w:r w:rsidRPr="00C43EAE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gray; GTV, gross tumor volume; </w:t>
      </w:r>
      <w:proofErr w:type="spellStart"/>
      <w:r w:rsidRPr="00C43EAE">
        <w:rPr>
          <w:rFonts w:ascii="Times New Roman" w:hAnsi="Times New Roman" w:cs="Times New Roman"/>
          <w:sz w:val="24"/>
          <w:szCs w:val="24"/>
        </w:rPr>
        <w:t>SUV</w:t>
      </w:r>
      <w:r w:rsidRPr="00C43EA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43EAE">
        <w:rPr>
          <w:rFonts w:ascii="Times New Roman" w:hAnsi="Times New Roman" w:cs="Times New Roman"/>
          <w:sz w:val="24"/>
          <w:szCs w:val="24"/>
        </w:rPr>
        <w:t>, maximum standardized uptake value;</w:t>
      </w:r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</w:rPr>
        <w:t>X</w:t>
      </w:r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  <w:vertAlign w:val="subscript"/>
        </w:rPr>
        <w:t>pre</w:t>
      </w:r>
      <w:proofErr w:type="spellEnd"/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  <w:vertAlign w:val="subscript"/>
        </w:rPr>
        <w:t xml:space="preserve">, </w:t>
      </w:r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</w:rPr>
        <w:t xml:space="preserve">pre-treatment value; </w:t>
      </w:r>
      <w:proofErr w:type="spellStart"/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</w:rPr>
        <w:t>X</w:t>
      </w:r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  <w:vertAlign w:val="subscript"/>
        </w:rPr>
        <w:t>int</w:t>
      </w:r>
      <w:proofErr w:type="spellEnd"/>
      <w:r w:rsidRPr="00C43EAE"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</w:rPr>
        <w:t>, interim value</w:t>
      </w:r>
    </w:p>
    <w:p w:rsidR="00ED7DFB" w:rsidRPr="00C43EAE" w:rsidRDefault="00ED7DFB">
      <w:pPr>
        <w:rPr>
          <w:rFonts w:ascii="Times New Roman" w:hAnsi="Times New Roman" w:cs="Times New Roman"/>
          <w:sz w:val="24"/>
          <w:szCs w:val="24"/>
        </w:rPr>
      </w:pPr>
    </w:p>
    <w:sectPr w:rsidR="00ED7DFB" w:rsidRPr="00C43EA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DFB"/>
    <w:rsid w:val="0007754F"/>
    <w:rsid w:val="00C43EAE"/>
    <w:rsid w:val="00ED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50EB9"/>
  <w15:chartTrackingRefBased/>
  <w15:docId w15:val="{A34A591A-07FC-49FE-AF6C-38B92DAD3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ED7DFB"/>
    <w:pPr>
      <w:spacing w:after="0"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ED7DFB"/>
    <w:rPr>
      <w:rFonts w:ascii="Times New Roman" w:eastAsia="맑은 고딕" w:hAnsi="Times New Roman" w:cs="Times New Roman"/>
      <w:noProof/>
      <w:sz w:val="24"/>
    </w:rPr>
  </w:style>
  <w:style w:type="paragraph" w:styleId="a3">
    <w:name w:val="Title"/>
    <w:basedOn w:val="a"/>
    <w:next w:val="a"/>
    <w:link w:val="Char"/>
    <w:uiPriority w:val="10"/>
    <w:qFormat/>
    <w:rsid w:val="00ED7DFB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3"/>
    <w:uiPriority w:val="10"/>
    <w:rsid w:val="00ED7DF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김나리</dc:creator>
  <cp:keywords/>
  <dc:description/>
  <cp:lastModifiedBy>김나리</cp:lastModifiedBy>
  <cp:revision>2</cp:revision>
  <dcterms:created xsi:type="dcterms:W3CDTF">2020-03-26T07:08:00Z</dcterms:created>
  <dcterms:modified xsi:type="dcterms:W3CDTF">2020-03-26T07:10:00Z</dcterms:modified>
</cp:coreProperties>
</file>